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73995" w14:textId="1823A442" w:rsidR="00386A44" w:rsidRPr="00386A44" w:rsidRDefault="00077032" w:rsidP="00386A44">
      <w:pPr>
        <w:spacing w:after="0" w:line="240" w:lineRule="auto"/>
        <w:contextualSpacing/>
        <w:rPr>
          <w:rFonts w:ascii="Cambria" w:eastAsia="Times New Roman" w:hAnsi="Cambria" w:cs="Times New Roman"/>
          <w:spacing w:val="-10"/>
          <w:kern w:val="28"/>
          <w:sz w:val="56"/>
          <w:szCs w:val="56"/>
          <w14:ligatures w14:val="none"/>
        </w:rPr>
      </w:pPr>
      <w:r>
        <w:rPr>
          <w:rFonts w:ascii="Cambria" w:eastAsia="Times New Roman" w:hAnsi="Cambria" w:cs="Times New Roman"/>
          <w:spacing w:val="-10"/>
          <w:kern w:val="28"/>
          <w:sz w:val="56"/>
          <w:szCs w:val="56"/>
          <w14:ligatures w14:val="none"/>
        </w:rPr>
        <w:t xml:space="preserve">Kapitálové obchodní korporace a cenné papíry </w:t>
      </w:r>
      <w:r w:rsidRPr="00386A44">
        <w:rPr>
          <w:rFonts w:ascii="Cambria" w:eastAsia="Times New Roman" w:hAnsi="Cambria" w:cs="Times New Roman"/>
          <w:spacing w:val="-10"/>
          <w:kern w:val="28"/>
          <w:sz w:val="56"/>
          <w:szCs w:val="56"/>
          <w14:ligatures w14:val="none"/>
        </w:rPr>
        <w:t>– zadání</w:t>
      </w:r>
      <w:r w:rsidR="00386A44" w:rsidRPr="00386A44">
        <w:rPr>
          <w:rFonts w:ascii="Cambria" w:eastAsia="Times New Roman" w:hAnsi="Cambria" w:cs="Times New Roman"/>
          <w:spacing w:val="-10"/>
          <w:kern w:val="28"/>
          <w:sz w:val="56"/>
          <w:szCs w:val="56"/>
          <w14:ligatures w14:val="none"/>
        </w:rPr>
        <w:t xml:space="preserve"> seminární práce</w:t>
      </w:r>
    </w:p>
    <w:p w14:paraId="0128C154" w14:textId="4C3055DC" w:rsidR="00386A44" w:rsidRPr="00386A44" w:rsidRDefault="00386A44" w:rsidP="00386A44">
      <w:pPr>
        <w:spacing w:line="256" w:lineRule="auto"/>
        <w:rPr>
          <w:rFonts w:ascii="Calibri" w:eastAsia="Times New Roman" w:hAnsi="Calibri" w:cs="Times New Roman"/>
          <w:color w:val="5A5A5A"/>
          <w:spacing w:val="15"/>
          <w:kern w:val="0"/>
          <w14:ligatures w14:val="none"/>
        </w:rPr>
      </w:pPr>
      <w:r w:rsidRPr="00386A44">
        <w:rPr>
          <w:rFonts w:ascii="Calibri" w:eastAsia="Times New Roman" w:hAnsi="Calibri" w:cs="Times New Roman"/>
          <w:color w:val="5A5A5A"/>
          <w:spacing w:val="15"/>
          <w:kern w:val="0"/>
          <w14:ligatures w14:val="none"/>
        </w:rPr>
        <w:t xml:space="preserve">CEVRO Institut, </w:t>
      </w:r>
      <w:r w:rsidR="00077032">
        <w:rPr>
          <w:rFonts w:ascii="Calibri" w:eastAsia="Times New Roman" w:hAnsi="Calibri" w:cs="Times New Roman"/>
          <w:color w:val="5A5A5A"/>
          <w:spacing w:val="15"/>
          <w:kern w:val="0"/>
          <w14:ligatures w14:val="none"/>
        </w:rPr>
        <w:t>1</w:t>
      </w:r>
      <w:r w:rsidRPr="00386A44">
        <w:rPr>
          <w:rFonts w:ascii="Calibri" w:eastAsia="Times New Roman" w:hAnsi="Calibri" w:cs="Times New Roman"/>
          <w:color w:val="5A5A5A"/>
          <w:spacing w:val="15"/>
          <w:kern w:val="0"/>
          <w14:ligatures w14:val="none"/>
        </w:rPr>
        <w:t xml:space="preserve">. trimestr </w:t>
      </w:r>
      <w:proofErr w:type="spellStart"/>
      <w:r w:rsidRPr="00386A44">
        <w:rPr>
          <w:rFonts w:ascii="Calibri" w:eastAsia="Times New Roman" w:hAnsi="Calibri" w:cs="Times New Roman"/>
          <w:color w:val="5A5A5A"/>
          <w:spacing w:val="15"/>
          <w:kern w:val="0"/>
          <w14:ligatures w14:val="none"/>
        </w:rPr>
        <w:t>ak</w:t>
      </w:r>
      <w:proofErr w:type="spellEnd"/>
      <w:r w:rsidRPr="00386A44">
        <w:rPr>
          <w:rFonts w:ascii="Calibri" w:eastAsia="Times New Roman" w:hAnsi="Calibri" w:cs="Times New Roman"/>
          <w:color w:val="5A5A5A"/>
          <w:spacing w:val="15"/>
          <w:kern w:val="0"/>
          <w14:ligatures w14:val="none"/>
        </w:rPr>
        <w:t>. roku 202</w:t>
      </w:r>
      <w:r w:rsidR="00077032">
        <w:rPr>
          <w:rFonts w:ascii="Calibri" w:eastAsia="Times New Roman" w:hAnsi="Calibri" w:cs="Times New Roman"/>
          <w:color w:val="5A5A5A"/>
          <w:spacing w:val="15"/>
          <w:kern w:val="0"/>
          <w14:ligatures w14:val="none"/>
        </w:rPr>
        <w:t>4</w:t>
      </w:r>
      <w:r w:rsidRPr="00386A44">
        <w:rPr>
          <w:rFonts w:ascii="Calibri" w:eastAsia="Times New Roman" w:hAnsi="Calibri" w:cs="Times New Roman"/>
          <w:color w:val="5A5A5A"/>
          <w:spacing w:val="15"/>
          <w:kern w:val="0"/>
          <w14:ligatures w14:val="none"/>
        </w:rPr>
        <w:t>/202</w:t>
      </w:r>
      <w:r w:rsidR="00077032">
        <w:rPr>
          <w:rFonts w:ascii="Calibri" w:eastAsia="Times New Roman" w:hAnsi="Calibri" w:cs="Times New Roman"/>
          <w:color w:val="5A5A5A"/>
          <w:spacing w:val="15"/>
          <w:kern w:val="0"/>
          <w14:ligatures w14:val="none"/>
        </w:rPr>
        <w:t>5</w:t>
      </w:r>
    </w:p>
    <w:p w14:paraId="138D6FD6" w14:textId="77777777" w:rsidR="00386A44" w:rsidRPr="00386A44" w:rsidRDefault="00386A44" w:rsidP="00386A44">
      <w:pPr>
        <w:keepNext/>
        <w:keepLines/>
        <w:spacing w:before="240" w:after="0" w:line="256" w:lineRule="auto"/>
        <w:outlineLvl w:val="0"/>
        <w:rPr>
          <w:rFonts w:ascii="Cambria" w:eastAsia="Times New Roman" w:hAnsi="Cambria" w:cs="Times New Roman"/>
          <w:color w:val="365F91"/>
          <w:kern w:val="0"/>
          <w:sz w:val="32"/>
          <w:szCs w:val="32"/>
          <w14:ligatures w14:val="none"/>
        </w:rPr>
      </w:pPr>
      <w:bookmarkStart w:id="0" w:name="_Toc95910653"/>
      <w:r w:rsidRPr="00386A44">
        <w:rPr>
          <w:rFonts w:ascii="Cambria" w:eastAsia="Times New Roman" w:hAnsi="Cambria" w:cs="Times New Roman"/>
          <w:color w:val="365F91"/>
          <w:kern w:val="0"/>
          <w:sz w:val="32"/>
          <w:szCs w:val="32"/>
          <w14:ligatures w14:val="none"/>
        </w:rPr>
        <w:t>Podmínky</w:t>
      </w:r>
      <w:bookmarkEnd w:id="0"/>
    </w:p>
    <w:p w14:paraId="340820B0" w14:textId="77777777" w:rsidR="00386A44" w:rsidRPr="00386A44" w:rsidRDefault="00386A44" w:rsidP="00386A44">
      <w:pPr>
        <w:spacing w:before="120" w:after="120" w:line="25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86A44">
        <w:rPr>
          <w:rFonts w:ascii="Times New Roman" w:eastAsia="Calibri" w:hAnsi="Times New Roman" w:cs="Times New Roman"/>
          <w:kern w:val="0"/>
          <w14:ligatures w14:val="none"/>
        </w:rPr>
        <w:t xml:space="preserve">Seminární práci je nutné zpracovat v souladu se zadáním. To znamená zejména, že musíte odpovědět na obě položené otázky a své odpovědi právně odůvodnit. </w:t>
      </w:r>
    </w:p>
    <w:p w14:paraId="36DACAE7" w14:textId="1BFE9596" w:rsidR="00386A44" w:rsidRPr="00386A44" w:rsidRDefault="00386A44" w:rsidP="00386A44">
      <w:pPr>
        <w:spacing w:before="120" w:after="120" w:line="25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86A44">
        <w:rPr>
          <w:rFonts w:ascii="Times New Roman" w:eastAsia="Calibri" w:hAnsi="Times New Roman" w:cs="Times New Roman"/>
          <w:kern w:val="0"/>
          <w14:ligatures w14:val="none"/>
        </w:rPr>
        <w:t>Pracovat je třeba samostatně, tj. není možné, aby zpracovávalo více studentů zadání společně ani abyste přebírali řešení někoho jiného. Nebude-li práce zpracována samostatně, nebude hodnocena ani práce studenta, který řešení převzal, ani práce toho, kdo mu řešení poskytl. Samostatné řešení je důležité nejen proto, že je to zadáno, ale i proto, abyste si ověřili, jak se dokážete samostatně vypořádat se zadáním.</w:t>
      </w:r>
    </w:p>
    <w:p w14:paraId="02A6E2A4" w14:textId="7FFA557B" w:rsidR="00386A44" w:rsidRPr="00386A44" w:rsidRDefault="00386A44" w:rsidP="00386A44">
      <w:pPr>
        <w:spacing w:before="120" w:after="120" w:line="25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86A44">
        <w:rPr>
          <w:rFonts w:ascii="Times New Roman" w:eastAsia="Calibri" w:hAnsi="Times New Roman" w:cs="Times New Roman"/>
          <w:kern w:val="0"/>
          <w14:ligatures w14:val="none"/>
        </w:rPr>
        <w:t xml:space="preserve">Práci odevzdejte do </w:t>
      </w:r>
      <w:r>
        <w:rPr>
          <w:rFonts w:ascii="Times New Roman" w:eastAsia="Calibri" w:hAnsi="Times New Roman" w:cs="Times New Roman"/>
          <w:kern w:val="0"/>
          <w14:ligatures w14:val="none"/>
        </w:rPr>
        <w:t>13.12.2024</w:t>
      </w:r>
      <w:r w:rsidRPr="00386A44">
        <w:rPr>
          <w:rFonts w:ascii="Times New Roman" w:eastAsia="Calibri" w:hAnsi="Times New Roman" w:cs="Times New Roman"/>
          <w:kern w:val="0"/>
          <w14:ligatures w14:val="none"/>
        </w:rPr>
        <w:t xml:space="preserve"> prostřednictvím Odevzdávárny v Informačním systému – po uplynutí stanovené lhůty již nelze práci odevzdat.</w:t>
      </w:r>
    </w:p>
    <w:p w14:paraId="575159C9" w14:textId="77777777" w:rsidR="00386A44" w:rsidRPr="00386A44" w:rsidRDefault="00386A44" w:rsidP="00386A44">
      <w:pPr>
        <w:keepNext/>
        <w:keepLines/>
        <w:spacing w:before="240" w:after="0" w:line="256" w:lineRule="auto"/>
        <w:outlineLvl w:val="0"/>
        <w:rPr>
          <w:rFonts w:ascii="Cambria" w:eastAsia="Times New Roman" w:hAnsi="Cambria" w:cs="Times New Roman"/>
          <w:color w:val="365F91"/>
          <w:kern w:val="0"/>
          <w:sz w:val="32"/>
          <w:szCs w:val="32"/>
          <w14:ligatures w14:val="none"/>
        </w:rPr>
      </w:pPr>
      <w:bookmarkStart w:id="1" w:name="_Toc95910654"/>
      <w:r w:rsidRPr="00386A44">
        <w:rPr>
          <w:rFonts w:ascii="Cambria" w:eastAsia="Times New Roman" w:hAnsi="Cambria" w:cs="Times New Roman"/>
          <w:color w:val="365F91"/>
          <w:kern w:val="0"/>
          <w:sz w:val="32"/>
          <w:szCs w:val="32"/>
          <w14:ligatures w14:val="none"/>
        </w:rPr>
        <w:t>Doporučení</w:t>
      </w:r>
      <w:bookmarkEnd w:id="1"/>
    </w:p>
    <w:p w14:paraId="66EE544D" w14:textId="77777777" w:rsidR="00386A44" w:rsidRPr="00386A44" w:rsidRDefault="00386A44" w:rsidP="00386A44">
      <w:pPr>
        <w:numPr>
          <w:ilvl w:val="0"/>
          <w:numId w:val="1"/>
        </w:numPr>
        <w:spacing w:before="80"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proofErr w:type="spellStart"/>
      <w:r w:rsidRPr="00386A44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Zadání</w:t>
      </w:r>
      <w:proofErr w:type="spellEnd"/>
      <w:r w:rsidRPr="00386A44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386A44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si</w:t>
      </w:r>
      <w:proofErr w:type="spellEnd"/>
      <w:r w:rsidRPr="00386A44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386A44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velmi</w:t>
      </w:r>
      <w:proofErr w:type="spellEnd"/>
      <w:r w:rsidRPr="00386A44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386A44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pečlivě</w:t>
      </w:r>
      <w:proofErr w:type="spellEnd"/>
      <w:r w:rsidRPr="00386A44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386A44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prostudujte</w:t>
      </w:r>
      <w:proofErr w:type="spellEnd"/>
      <w:r w:rsidRPr="00386A44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a </w:t>
      </w:r>
      <w:proofErr w:type="spellStart"/>
      <w:r w:rsidRPr="00386A44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vezměte</w:t>
      </w:r>
      <w:proofErr w:type="spellEnd"/>
      <w:r w:rsidRPr="00386A44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do </w:t>
      </w:r>
      <w:proofErr w:type="spellStart"/>
      <w:r w:rsidRPr="00386A44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úvahy</w:t>
      </w:r>
      <w:proofErr w:type="spellEnd"/>
      <w:r w:rsidRPr="00386A44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386A44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všechny</w:t>
      </w:r>
      <w:proofErr w:type="spellEnd"/>
      <w:r w:rsidRPr="00386A44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386A44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souvislosti</w:t>
      </w:r>
      <w:proofErr w:type="spellEnd"/>
      <w:r w:rsidRPr="00386A44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</w:p>
    <w:p w14:paraId="60250E79" w14:textId="281D7269" w:rsidR="00386A44" w:rsidRPr="00386A44" w:rsidRDefault="00077032" w:rsidP="00386A44">
      <w:pPr>
        <w:numPr>
          <w:ilvl w:val="0"/>
          <w:numId w:val="1"/>
        </w:numPr>
        <w:spacing w:before="80" w:after="0" w:line="264" w:lineRule="auto"/>
        <w:contextualSpacing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Prostudujte</w:t>
      </w:r>
      <w:proofErr w:type="spellEnd"/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platnou</w:t>
      </w:r>
      <w:proofErr w:type="spellEnd"/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právní</w:t>
      </w:r>
      <w:proofErr w:type="spellEnd"/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úpravu</w:t>
      </w:r>
      <w:proofErr w:type="spellEnd"/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vezměte</w:t>
      </w:r>
      <w:proofErr w:type="spellEnd"/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úvahu</w:t>
      </w:r>
      <w:proofErr w:type="spellEnd"/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její</w:t>
      </w:r>
      <w:proofErr w:type="spellEnd"/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možné</w:t>
      </w:r>
      <w:proofErr w:type="spellEnd"/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interpretace</w:t>
      </w:r>
      <w:proofErr w:type="spellEnd"/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</w:p>
    <w:p w14:paraId="08A92582" w14:textId="77777777" w:rsidR="00386A44" w:rsidRPr="00386A44" w:rsidRDefault="00386A44" w:rsidP="00386A44">
      <w:pPr>
        <w:spacing w:before="80" w:after="0" w:line="264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C108EC4" w14:textId="77777777" w:rsidR="00386A44" w:rsidRPr="00386A44" w:rsidRDefault="00386A44" w:rsidP="00386A44">
      <w:pPr>
        <w:spacing w:before="80" w:after="0" w:line="264" w:lineRule="auto"/>
        <w:jc w:val="both"/>
        <w:rPr>
          <w:rFonts w:ascii="Cambria" w:eastAsia="Calibri" w:hAnsi="Cambria" w:cs="Calibri"/>
          <w:color w:val="4F81BD"/>
          <w:kern w:val="0"/>
          <w:sz w:val="32"/>
          <w:szCs w:val="32"/>
          <w14:ligatures w14:val="none"/>
        </w:rPr>
      </w:pPr>
      <w:r w:rsidRPr="00386A44">
        <w:rPr>
          <w:rFonts w:ascii="Cambria" w:eastAsia="Calibri" w:hAnsi="Cambria" w:cs="Calibri"/>
          <w:color w:val="4F81BD"/>
          <w:kern w:val="0"/>
          <w:sz w:val="32"/>
          <w:szCs w:val="32"/>
          <w14:ligatures w14:val="none"/>
        </w:rPr>
        <w:t>Seminární práce</w:t>
      </w:r>
    </w:p>
    <w:p w14:paraId="7BE184E4" w14:textId="2D3ED81F" w:rsidR="00077032" w:rsidRDefault="00AF44CD" w:rsidP="00077032">
      <w:pPr>
        <w:jc w:val="both"/>
      </w:pPr>
      <w:bookmarkStart w:id="2" w:name="_Hlk143631239"/>
      <w:r w:rsidRPr="00077032">
        <w:t xml:space="preserve">Josef Zavřel a Karel </w:t>
      </w:r>
      <w:proofErr w:type="spellStart"/>
      <w:r w:rsidRPr="00077032">
        <w:t>Mekota</w:t>
      </w:r>
      <w:proofErr w:type="spellEnd"/>
      <w:r w:rsidRPr="00AF44CD">
        <w:t xml:space="preserve"> se 1. 2. 202</w:t>
      </w:r>
      <w:r w:rsidRPr="00077032">
        <w:t>4</w:t>
      </w:r>
      <w:r w:rsidRPr="00AF44CD">
        <w:t xml:space="preserve"> shodli na tom, že v</w:t>
      </w:r>
      <w:r w:rsidRPr="00077032">
        <w:t xml:space="preserve"> místě</w:t>
      </w:r>
      <w:r w:rsidRPr="00AF44CD">
        <w:t xml:space="preserve"> jsou dobré podmínky pro založení společnosti s ručením omezeným, která bude provozovat zámečnictví. Obchodní firma společnosti měla znít </w:t>
      </w:r>
      <w:proofErr w:type="spellStart"/>
      <w:r w:rsidRPr="00077032">
        <w:t>ZaMek</w:t>
      </w:r>
      <w:proofErr w:type="spellEnd"/>
      <w:r w:rsidRPr="00AF44CD">
        <w:t>, s. r. o. Dohodli též, že prvním jednatelem bude J</w:t>
      </w:r>
      <w:r w:rsidRPr="00077032">
        <w:t>iří Barták</w:t>
      </w:r>
      <w:r w:rsidRPr="00AF44CD">
        <w:t xml:space="preserve">, který má podnikatelské zkušenosti. Pan </w:t>
      </w:r>
      <w:r w:rsidRPr="00077032">
        <w:t>Barták</w:t>
      </w:r>
      <w:r w:rsidRPr="00AF44CD">
        <w:t xml:space="preserve"> s</w:t>
      </w:r>
      <w:r w:rsidRPr="00077032">
        <w:t> ustavením do funkce</w:t>
      </w:r>
      <w:r w:rsidRPr="00AF44CD">
        <w:t xml:space="preserve"> souhlasil. Když se krátce na to naskytla příležitost koupit od místního </w:t>
      </w:r>
      <w:r w:rsidRPr="00077032">
        <w:t>podnikatele Aleše Kutila</w:t>
      </w:r>
      <w:r w:rsidRPr="00AF44CD">
        <w:t xml:space="preserve"> kvalitní soustruh, </w:t>
      </w:r>
      <w:r w:rsidRPr="00077032">
        <w:t>Jiří Barták</w:t>
      </w:r>
      <w:r w:rsidRPr="00AF44CD">
        <w:t xml:space="preserve"> neváhal a uzavřel s panem </w:t>
      </w:r>
      <w:r w:rsidRPr="00077032">
        <w:t>Kutilem</w:t>
      </w:r>
      <w:r w:rsidRPr="00AF44CD">
        <w:t xml:space="preserve"> 15. 2. 202</w:t>
      </w:r>
      <w:r w:rsidRPr="00077032">
        <w:t>4</w:t>
      </w:r>
      <w:r w:rsidRPr="00AF44CD">
        <w:t xml:space="preserve"> kupní smlouvu se všemi předepsanými podstatnými náležitostmi, v níž byla jako kupující uvedena </w:t>
      </w:r>
      <w:proofErr w:type="spellStart"/>
      <w:r w:rsidRPr="00077032">
        <w:t>Za</w:t>
      </w:r>
      <w:r w:rsidR="00EB5C5F" w:rsidRPr="00077032">
        <w:t>M</w:t>
      </w:r>
      <w:r w:rsidRPr="00077032">
        <w:t>ek</w:t>
      </w:r>
      <w:proofErr w:type="spellEnd"/>
      <w:r w:rsidRPr="00AF44CD">
        <w:t xml:space="preserve">, s. r. o. Ke smlouvě připojil pan </w:t>
      </w:r>
      <w:r w:rsidRPr="00077032">
        <w:t>Barták</w:t>
      </w:r>
      <w:r w:rsidRPr="00AF44CD">
        <w:t xml:space="preserve"> svůj podpis</w:t>
      </w:r>
      <w:r w:rsidR="002E015A">
        <w:t xml:space="preserve"> a pan </w:t>
      </w:r>
      <w:proofErr w:type="spellStart"/>
      <w:r w:rsidR="002E015A">
        <w:t>Mekota</w:t>
      </w:r>
      <w:proofErr w:type="spellEnd"/>
      <w:r w:rsidR="002E015A">
        <w:t xml:space="preserve"> soustruh hned převzal.</w:t>
      </w:r>
      <w:r w:rsidRPr="00AF44CD">
        <w:t xml:space="preserve"> </w:t>
      </w:r>
    </w:p>
    <w:p w14:paraId="374E67BA" w14:textId="43CF3EA3" w:rsidR="00077032" w:rsidRDefault="00AF44CD" w:rsidP="00077032">
      <w:pPr>
        <w:jc w:val="both"/>
      </w:pPr>
      <w:r w:rsidRPr="00AF44CD">
        <w:t>Dne 1. 3. 202</w:t>
      </w:r>
      <w:r w:rsidR="00EB5C5F" w:rsidRPr="00077032">
        <w:t>4</w:t>
      </w:r>
      <w:r w:rsidRPr="00AF44CD">
        <w:t xml:space="preserve"> uzavřeli </w:t>
      </w:r>
      <w:r w:rsidR="00EB5C5F" w:rsidRPr="00077032">
        <w:t>Josef</w:t>
      </w:r>
      <w:r w:rsidRPr="00AF44CD">
        <w:t xml:space="preserve"> </w:t>
      </w:r>
      <w:r w:rsidR="00EB5C5F" w:rsidRPr="00077032">
        <w:t xml:space="preserve">Zavřel a Karel </w:t>
      </w:r>
      <w:proofErr w:type="spellStart"/>
      <w:r w:rsidR="00EB5C5F" w:rsidRPr="00077032">
        <w:t>Mekota</w:t>
      </w:r>
      <w:proofErr w:type="spellEnd"/>
      <w:r w:rsidR="00EB5C5F" w:rsidRPr="00077032">
        <w:t xml:space="preserve"> </w:t>
      </w:r>
      <w:r w:rsidRPr="00AF44CD">
        <w:t xml:space="preserve">společenskou smlouvu, jíž společnost </w:t>
      </w:r>
      <w:proofErr w:type="spellStart"/>
      <w:r w:rsidR="00EB5C5F" w:rsidRPr="00077032">
        <w:t>ZaMek</w:t>
      </w:r>
      <w:proofErr w:type="spellEnd"/>
      <w:r w:rsidRPr="00AF44CD">
        <w:t xml:space="preserve">, s. r. o., </w:t>
      </w:r>
      <w:r w:rsidR="002E015A">
        <w:t xml:space="preserve">řádně </w:t>
      </w:r>
      <w:r w:rsidRPr="00AF44CD">
        <w:t>založili (smlouva neměla právní vady a obsahovala jen obligatorní náležitosti). Dne 3. 4. 202</w:t>
      </w:r>
      <w:r w:rsidR="00EB5C5F" w:rsidRPr="00077032">
        <w:t>4</w:t>
      </w:r>
      <w:r w:rsidRPr="00AF44CD">
        <w:t xml:space="preserve"> byla </w:t>
      </w:r>
      <w:proofErr w:type="spellStart"/>
      <w:r w:rsidR="00EB5C5F" w:rsidRPr="00077032">
        <w:t>ZaMek</w:t>
      </w:r>
      <w:proofErr w:type="spellEnd"/>
      <w:r w:rsidRPr="00AF44CD">
        <w:t xml:space="preserve">, s. r. o., zapsána do obchodního rejstříku. </w:t>
      </w:r>
      <w:r w:rsidR="00EB5C5F" w:rsidRPr="00077032">
        <w:t>Jiří</w:t>
      </w:r>
      <w:r w:rsidRPr="00AF44CD">
        <w:t xml:space="preserve"> </w:t>
      </w:r>
      <w:r w:rsidR="00EB5C5F" w:rsidRPr="00077032">
        <w:t>Barták</w:t>
      </w:r>
      <w:r w:rsidRPr="00AF44CD">
        <w:t xml:space="preserve"> se ale jednatelem nestal, neboť zakladatelé nakonec ve společenské smlouvě ustavili prvním jednat</w:t>
      </w:r>
      <w:r w:rsidR="00077032" w:rsidRPr="00077032">
        <w:t>elem</w:t>
      </w:r>
      <w:r w:rsidR="00EB5C5F" w:rsidRPr="00077032">
        <w:t xml:space="preserve"> </w:t>
      </w:r>
      <w:r w:rsidR="00077032" w:rsidRPr="00077032">
        <w:t>společníka Josefa</w:t>
      </w:r>
      <w:r w:rsidRPr="00AF44CD">
        <w:t xml:space="preserve"> </w:t>
      </w:r>
      <w:r w:rsidR="00EB5C5F" w:rsidRPr="00077032">
        <w:t>Zavřela</w:t>
      </w:r>
      <w:r w:rsidRPr="00AF44CD">
        <w:t xml:space="preserve">. </w:t>
      </w:r>
    </w:p>
    <w:p w14:paraId="23ECDF07" w14:textId="35ED2255" w:rsidR="00AF44CD" w:rsidRPr="00AF44CD" w:rsidRDefault="00AF44CD" w:rsidP="00077032">
      <w:pPr>
        <w:jc w:val="both"/>
      </w:pPr>
      <w:r w:rsidRPr="00AF44CD">
        <w:t xml:space="preserve">Soustruh byl kvalitní, společnost jej využívala, </w:t>
      </w:r>
      <w:r w:rsidR="002E015A">
        <w:t xml:space="preserve">avšak </w:t>
      </w:r>
      <w:r w:rsidRPr="00AF44CD">
        <w:t>žádné další právní jednání ohledně jeho koupě již neučinila a stejně tak ani nikdo z jejích společníků. Když ani v půlce července neobdržel pan</w:t>
      </w:r>
      <w:r w:rsidR="00077032" w:rsidRPr="00077032">
        <w:t xml:space="preserve"> Kutil</w:t>
      </w:r>
      <w:r w:rsidRPr="00AF44CD">
        <w:t xml:space="preserve"> za soustruh úhradu sjednané kupní ceny, postupně se obrátil na pana </w:t>
      </w:r>
      <w:r w:rsidR="00077032" w:rsidRPr="00077032">
        <w:t>Bartáka</w:t>
      </w:r>
      <w:r w:rsidRPr="00AF44CD">
        <w:t xml:space="preserve">, </w:t>
      </w:r>
      <w:r w:rsidR="00077032" w:rsidRPr="00077032">
        <w:t>Zavřela</w:t>
      </w:r>
      <w:r w:rsidRPr="00AF44CD">
        <w:t xml:space="preserve">, </w:t>
      </w:r>
      <w:r w:rsidR="00077032" w:rsidRPr="00077032">
        <w:t>Mekotu</w:t>
      </w:r>
      <w:r w:rsidRPr="00AF44CD">
        <w:t xml:space="preserve"> i na </w:t>
      </w:r>
      <w:proofErr w:type="spellStart"/>
      <w:r w:rsidR="00077032" w:rsidRPr="00077032">
        <w:t>ZaMek</w:t>
      </w:r>
      <w:proofErr w:type="spellEnd"/>
      <w:r w:rsidRPr="00AF44CD">
        <w:t xml:space="preserve">, s. r. o., s výzvou k úhradě své pohledávky. Nikdo z oslovených se necítil být kupní smlouvou vázán.  </w:t>
      </w:r>
    </w:p>
    <w:p w14:paraId="0435D4B9" w14:textId="77777777" w:rsidR="002E015A" w:rsidRDefault="002E015A" w:rsidP="00AF44CD">
      <w:pPr>
        <w:rPr>
          <w:b/>
          <w:bCs/>
        </w:rPr>
      </w:pPr>
    </w:p>
    <w:p w14:paraId="5134C292" w14:textId="202E6692" w:rsidR="00AF44CD" w:rsidRPr="00AF44CD" w:rsidRDefault="00AF44CD" w:rsidP="00AF44CD">
      <w:pPr>
        <w:rPr>
          <w:b/>
          <w:bCs/>
        </w:rPr>
      </w:pPr>
      <w:r w:rsidRPr="00AF44CD">
        <w:rPr>
          <w:b/>
          <w:bCs/>
        </w:rPr>
        <w:t xml:space="preserve">a) </w:t>
      </w:r>
      <w:r w:rsidR="002E015A">
        <w:rPr>
          <w:b/>
          <w:bCs/>
        </w:rPr>
        <w:tab/>
      </w:r>
      <w:r w:rsidRPr="00AF44CD">
        <w:rPr>
          <w:b/>
          <w:bCs/>
        </w:rPr>
        <w:t xml:space="preserve">Kdo bude zavázán z kupní smlouvy uzavřené s panem </w:t>
      </w:r>
      <w:r w:rsidR="00077032">
        <w:rPr>
          <w:b/>
          <w:bCs/>
        </w:rPr>
        <w:t>Kutilem</w:t>
      </w:r>
      <w:r w:rsidRPr="00AF44CD">
        <w:rPr>
          <w:b/>
          <w:bCs/>
        </w:rPr>
        <w:t xml:space="preserve"> dne 15. 2. 202</w:t>
      </w:r>
      <w:r w:rsidR="00077032">
        <w:rPr>
          <w:b/>
          <w:bCs/>
        </w:rPr>
        <w:t>4</w:t>
      </w:r>
      <w:r w:rsidRPr="00AF44CD">
        <w:rPr>
          <w:b/>
          <w:bCs/>
        </w:rPr>
        <w:t>?</w:t>
      </w:r>
    </w:p>
    <w:p w14:paraId="70192943" w14:textId="161CDBA6" w:rsidR="00AF44CD" w:rsidRPr="00AF44CD" w:rsidRDefault="00AF44CD" w:rsidP="002E015A">
      <w:pPr>
        <w:ind w:left="705" w:hanging="705"/>
        <w:rPr>
          <w:b/>
          <w:bCs/>
        </w:rPr>
      </w:pPr>
      <w:r w:rsidRPr="00AF44CD">
        <w:rPr>
          <w:b/>
          <w:bCs/>
        </w:rPr>
        <w:t xml:space="preserve">b) </w:t>
      </w:r>
      <w:r w:rsidR="002E015A">
        <w:rPr>
          <w:b/>
          <w:bCs/>
        </w:rPr>
        <w:tab/>
      </w:r>
      <w:r w:rsidRPr="00AF44CD">
        <w:rPr>
          <w:b/>
          <w:bCs/>
        </w:rPr>
        <w:t xml:space="preserve">Může </w:t>
      </w:r>
      <w:proofErr w:type="spellStart"/>
      <w:r w:rsidR="00077032">
        <w:rPr>
          <w:b/>
          <w:bCs/>
        </w:rPr>
        <w:t>ZaMek</w:t>
      </w:r>
      <w:proofErr w:type="spellEnd"/>
      <w:r w:rsidRPr="00AF44CD">
        <w:rPr>
          <w:b/>
          <w:bCs/>
        </w:rPr>
        <w:t>, s. r. o., převzít účinky smlouvy o koupi soustruhu, pokud se tak pod tlakem veřejného mínění rozhodne na konci září 202</w:t>
      </w:r>
      <w:r w:rsidR="002E015A">
        <w:rPr>
          <w:b/>
          <w:bCs/>
        </w:rPr>
        <w:t>4</w:t>
      </w:r>
      <w:r w:rsidRPr="00AF44CD">
        <w:rPr>
          <w:b/>
          <w:bCs/>
        </w:rPr>
        <w:t xml:space="preserve">? </w:t>
      </w:r>
    </w:p>
    <w:p w14:paraId="1050E175" w14:textId="77777777" w:rsidR="00AF44CD" w:rsidRPr="00AF44CD" w:rsidRDefault="00AF44CD" w:rsidP="00AF44CD">
      <w:pPr>
        <w:rPr>
          <w:b/>
          <w:bCs/>
        </w:rPr>
      </w:pPr>
      <w:r w:rsidRPr="00AF44CD">
        <w:rPr>
          <w:b/>
          <w:bCs/>
        </w:rPr>
        <w:t xml:space="preserve">Své závěry právně odůvodněte. </w:t>
      </w:r>
      <w:bookmarkEnd w:id="2"/>
    </w:p>
    <w:p w14:paraId="03739138" w14:textId="77777777" w:rsidR="00357104" w:rsidRPr="00357104" w:rsidRDefault="00357104" w:rsidP="00357104">
      <w:pPr>
        <w:rPr>
          <w:b/>
          <w:bCs/>
        </w:rPr>
      </w:pPr>
      <w:r w:rsidRPr="00357104">
        <w:rPr>
          <w:b/>
          <w:bCs/>
        </w:rPr>
        <w:lastRenderedPageBreak/>
        <w:t xml:space="preserve">Řešení </w:t>
      </w:r>
    </w:p>
    <w:p w14:paraId="0396BB75" w14:textId="77777777" w:rsidR="00357104" w:rsidRDefault="00357104" w:rsidP="00357104">
      <w:pPr>
        <w:jc w:val="both"/>
      </w:pPr>
      <w:r>
        <w:t xml:space="preserve">Ad a) Podle ustanovení § 127 občanského zákoníku (OZ) lze za právnickou osobu jednat jejím jménem již před jejím vznikem. Kdo takto jedná, je z tohoto jednání oprávněn a zavázán sám. Jedná-li více osob, jsou oprávněny a zavázány společně a nerozdílně. </w:t>
      </w:r>
    </w:p>
    <w:p w14:paraId="48A22E20" w14:textId="77777777" w:rsidR="00357104" w:rsidRDefault="00357104" w:rsidP="00357104">
      <w:pPr>
        <w:jc w:val="both"/>
      </w:pPr>
      <w:r>
        <w:t xml:space="preserve">Z citované úpravy vyplývá, že za právnickou osobu (v posuzovaném případě za tvořící se společnost s ručením omezeným) může před jejím vznikem jednat kdokoli, tudíž nejen budoucí společníci, i když ti v přípravném stádiu jednají za společnost nejčastěji. Ustanovení tudíž dopadá i na pana Bartáka, který za (budoucí) společnost uzavřel 15. 2. 2024 kupní smlouvu. Není přitom rozhodné, že se následně nestal jednatelem. </w:t>
      </w:r>
    </w:p>
    <w:p w14:paraId="10D06B6D" w14:textId="77777777" w:rsidR="00357104" w:rsidRDefault="00357104" w:rsidP="00357104">
      <w:pPr>
        <w:jc w:val="both"/>
      </w:pPr>
      <w:r>
        <w:t xml:space="preserve">Z ustanovení § 127 OZ dále vyplývá, že za právnickou osobu lze jednat kdykoli před jejím vznikem, tudíž nejen po jejím založení. Není proto relevantní, že pan Barták takto jednal ještě před založením </w:t>
      </w:r>
      <w:proofErr w:type="spellStart"/>
      <w:r>
        <w:t>ZaMek</w:t>
      </w:r>
      <w:proofErr w:type="spellEnd"/>
      <w:r>
        <w:t xml:space="preserve">, s. r. o., neboť zákonná úprava – s cílem chránit třetí osoby – nerozlišuje, zda se jednání za formovanou společnost uskutečnilo před či po jejím založení. Z kupní smlouvy uzavřené jménem tvořící se </w:t>
      </w:r>
      <w:proofErr w:type="spellStart"/>
      <w:r>
        <w:t>ZaMek</w:t>
      </w:r>
      <w:proofErr w:type="spellEnd"/>
      <w:r>
        <w:t xml:space="preserve"> s. r. o., bude tudíž zavázán pan Barták. </w:t>
      </w:r>
    </w:p>
    <w:p w14:paraId="26B5FA5C" w14:textId="77777777" w:rsidR="00357104" w:rsidRDefault="00357104" w:rsidP="00357104">
      <w:pPr>
        <w:jc w:val="both"/>
      </w:pPr>
      <w:r>
        <w:t xml:space="preserve">Ad b) Podle ustanovení § 127 OZ může právnická osoba účinky jednání učiněného jejím jménem před jejím vznikem pro sebe do tří měsíců od svého vzniku převzít. V takovém případě platí, že je z tohoto jednání oprávněna a zavázána od počátku. Dle ustanovení § 190 odst. 2, písm. l) zákona o obchodních korporacích (ZOK) náleží rozhodnutí o převzetí účinků jednání učiněných za společnost před jejím vznikem do působnosti valné hromady společnosti s ručením omezeným. Toto převzetí účinků, v daném případě převzetí dluhu, není podmíněno souhlasem věřitele, společnost ale musí dát ostatním účastníkům (v posuzovaném případě panu Kutilovi i panu Bartákovi) najevo, že účinky převzala. </w:t>
      </w:r>
    </w:p>
    <w:p w14:paraId="2E525305" w14:textId="77777777" w:rsidR="00357104" w:rsidRDefault="00357104" w:rsidP="00357104">
      <w:pPr>
        <w:jc w:val="both"/>
      </w:pPr>
      <w:r>
        <w:t xml:space="preserve">Ze zadání vyplývá, že tříměsíční lhůta, v níž mohla společnost (jednostranně) převzít dluh ze smlouvy o koupi soustruhu, dne 3. 7. 2024 marně uplynula. Společnost tudíž nemůže dluh pana Rozumného převzít na konci září rozhodnutím své valné hromady (§ 127 OZ spolu s § 190 odst. 2, písm. l) ZOK). Zvláštní úprava převzetí účinků smlouvy se tudíž na posuzovaný případ neuplatní. </w:t>
      </w:r>
    </w:p>
    <w:p w14:paraId="2747B81E" w14:textId="77777777" w:rsidR="00357104" w:rsidRDefault="00357104" w:rsidP="00357104">
      <w:pPr>
        <w:jc w:val="both"/>
      </w:pPr>
      <w:r>
        <w:t xml:space="preserve">Společnost </w:t>
      </w:r>
      <w:proofErr w:type="spellStart"/>
      <w:r>
        <w:t>ZaMek</w:t>
      </w:r>
      <w:proofErr w:type="spellEnd"/>
      <w:r>
        <w:t xml:space="preserve">, s. r. o., ale může dle ustanovení § 1888 odst. 1 OZ ujednat s dlužníkem – panem Bartákem, že převezme jeho dluh ze smlouvy o koupi soustruhu. To za podmínky, že k tomu dá věřitel – pan Kutil, souhlas. Takové ujednání by však nepůsobilo retrospektivně (ex </w:t>
      </w:r>
      <w:proofErr w:type="spellStart"/>
      <w:r>
        <w:t>tunc</w:t>
      </w:r>
      <w:proofErr w:type="spellEnd"/>
      <w:r>
        <w:t xml:space="preserve">), jak by tomu bylo v případě postupu dle § 127 OZ, nýbrž výlučně perspektivně (ex nunc). Současně by bylo nezbytné, aby na společnost </w:t>
      </w:r>
      <w:proofErr w:type="spellStart"/>
      <w:r>
        <w:t>ZaMek</w:t>
      </w:r>
      <w:proofErr w:type="spellEnd"/>
      <w:r>
        <w:t xml:space="preserve">, s. r. o., pan Barták převedl vlastnické právo k soustruhu, když to na něj (při absenci odlišného ujednání) přešlo již uzavřením kupní smlouvy (§ 1099 OZ), a to, že soustruh mezitím užívala společnost, na tom nic nezměnilo. </w:t>
      </w:r>
    </w:p>
    <w:p w14:paraId="056F0D73" w14:textId="77777777" w:rsidR="00357104" w:rsidRDefault="00357104" w:rsidP="00357104">
      <w:pPr>
        <w:jc w:val="both"/>
      </w:pPr>
      <w:r>
        <w:t xml:space="preserve">Další možností je postoupení kupní smlouvy dle § 1895 OZ Toto ustanovení umožňuje, aby pan Barták jako postupitel převedl svá práva a povinnosti z kupní smlouvy, tudíž „smlouvu jako celek“ (případně její část) na </w:t>
      </w:r>
      <w:proofErr w:type="spellStart"/>
      <w:r>
        <w:t>ZaMek</w:t>
      </w:r>
      <w:proofErr w:type="spellEnd"/>
      <w:r>
        <w:t xml:space="preserve">, s. r. o. Opět platí, že pan Kutil, jako postoupená strana, by musel s tímto postupem souhlasit. I takové postoupení by však založilo účinky pouze do budoucna a jen ve vztahu k dosud existujícím právům a povinnostem založeným postupovanou smlouvou, nezměnilo by tudíž samo o sobě nic na tom, že vlastníkem soustruhu je pan Barták (postoupení by dopadlo pouze na závazek, resp. práva a povinnosti z něj, který by v době postoupení dosud existoval). Aby vlastnické právo k soustruhu přešlo na společnost, muselo by se tak stát na základě zvlášť uzavřené smlouvy o takovém převodu. </w:t>
      </w:r>
    </w:p>
    <w:p w14:paraId="23C833A2" w14:textId="1063B13F" w:rsidR="00CA7201" w:rsidRDefault="00357104" w:rsidP="00357104">
      <w:pPr>
        <w:jc w:val="both"/>
      </w:pPr>
      <w:r>
        <w:t xml:space="preserve">Převzetí dluhu, převzetí smlouvy ani dodatečné nabytí soustruhu od pana Bartáka nevyžaduje souhlas valné hromady, neboť jde o rozhodnutí činěná v rámci obchodního vedení společnosti. Dle zadání </w:t>
      </w:r>
      <w:r>
        <w:lastRenderedPageBreak/>
        <w:t>společenská smlouva přitom neobsahovala žádné zvláštní ujednání, které by takové právní jednání podmiňovalo souhlasem valné hromady.</w:t>
      </w:r>
    </w:p>
    <w:sectPr w:rsidR="00CA7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74418"/>
    <w:multiLevelType w:val="hybridMultilevel"/>
    <w:tmpl w:val="0E2CF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68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44"/>
    <w:rsid w:val="00077032"/>
    <w:rsid w:val="002E015A"/>
    <w:rsid w:val="00357104"/>
    <w:rsid w:val="00386A44"/>
    <w:rsid w:val="004520FC"/>
    <w:rsid w:val="00A24580"/>
    <w:rsid w:val="00AF44CD"/>
    <w:rsid w:val="00C22BE7"/>
    <w:rsid w:val="00CA7201"/>
    <w:rsid w:val="00EB5C5F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AC16"/>
  <w15:chartTrackingRefBased/>
  <w15:docId w15:val="{275C3E9F-2A4C-482B-AAC4-F928163E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6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977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Liska</dc:creator>
  <cp:keywords/>
  <dc:description/>
  <cp:lastModifiedBy>Petr Liska</cp:lastModifiedBy>
  <cp:revision>2</cp:revision>
  <dcterms:created xsi:type="dcterms:W3CDTF">2024-12-20T09:24:00Z</dcterms:created>
  <dcterms:modified xsi:type="dcterms:W3CDTF">2024-12-20T09:24:00Z</dcterms:modified>
</cp:coreProperties>
</file>